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1281032820"/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</w:pPr>
      <w:bookmarkStart w:id="0" w:name="_GoBack"/>
      <w:r w:rsidRPr="00677981"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  <w:t>НАРЕДБА № 31 ОТ 11 СЕПТЕМВРИ 2008 Г. ЗА СЕРТИФИЦИРАНЕ НА ХМЕЛ И ПРОДУКТИ ОТ ХМЕЛ (ЗАГЛ. ИЗМ. - ДВ, БР. 8 ОТ 2025 Г., В СИЛА ОТ 28.01.2025 Г.)</w:t>
      </w:r>
    </w:p>
    <w:p w:rsidR="00000000" w:rsidRPr="00677981" w:rsidRDefault="00327534">
      <w:pPr>
        <w:spacing w:after="0" w:line="240" w:lineRule="auto"/>
        <w:ind w:firstLine="1155"/>
        <w:textAlignment w:val="center"/>
        <w:divId w:val="6674868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Издадена от министъра на земеделието и храните</w:t>
      </w:r>
    </w:p>
    <w:p w:rsidR="00000000" w:rsidRPr="00677981" w:rsidRDefault="00327534">
      <w:pPr>
        <w:spacing w:before="100" w:beforeAutospacing="1" w:after="100" w:afterAutospacing="1" w:line="240" w:lineRule="auto"/>
        <w:ind w:firstLine="1155"/>
        <w:jc w:val="both"/>
        <w:textAlignment w:val="center"/>
        <w:divId w:val="1132018281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proofErr w:type="spellStart"/>
      <w:r w:rsidRPr="0067798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Обн</w:t>
      </w:r>
      <w:proofErr w:type="spellEnd"/>
      <w:r w:rsidRPr="0067798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. ДВ. бр.82 от 19 септември 2008г.</w:t>
      </w:r>
      <w:r w:rsidRPr="00677981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677981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  <w:lang w:val="bg-BG"/>
        </w:rPr>
        <w:t>изм. и доп. ДВ. бр.8 от 28 януари 2025г.</w:t>
      </w: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1454640711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първа.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ОБЩИ РАЗПОРЕДБИ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617688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1. С тази наредба се уреждат: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709117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организацията и редът за сертифицирането на хмел и продукти от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518889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(отм. - ДВ, бр. 8 от 2025 г., в сила от 28.01.2025 г.)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504234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(изм. - ДВ, бр. 8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2025 г., в сила от 28.01.2025 г.) предоставянето на информация на Европейската комисия за организацията на сертифициране и сертифицирането на хмел и продукти от хмел.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81502028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386250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2. (1) (Изм. - ДВ, бр. 8 от 2025 г., в сила от 28.01.2025 г.) Сертифицирането 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хмел и продукти от хмел се извършва по правилата на 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2, (ЕИО) № 234/79, (ЕО) № 1037/2001 и (ЕО) № 1234/2007 (ОВ, L 347, 20.12.2013 г.) (Регламент (ЕС) 1308/2013 г.), Регламент за изпълнение (ЕС) 2024/601 на Комисията от 14 декември 2023 г. за определяне на правила за прилагането на Регламент (ЕС) № 1308/2013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Европейския парламент и на Съвета по отношение на сертифицирането на хмел и продукти от хмел и съответния контрол (ОВ, L 2024/601, 16.2.2024 г.) (Регламент за изпълнение (ЕС) 2024/601) и Делегиран регламент (ЕС) 2024/602 на Комисията от 14 декември 202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 г. за допълнение на Регламент (ЕС) № 1308/2013 на Европейския парламент и на Съвета по отношение на пазарните стандарти в сектора на хмела и за отмяна на Регламент (ЕО) № 1850/2006 на Комисията (ОВ, L 2024/602, 16.2.2024 г.) (Делегиран регламент (ЕС) 202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4/602).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619067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(Отм. - ДВ, бр. 8 от 2025 г., в сила от 28.01.2025 г.)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0212801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178927478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втора.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ОРГАНИЗАЦИЯ НА СЕРТИФИЦИРАНЕТО НА ХМЕЛ И ПРОДУКТИ ОТ ХМЕЛ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274753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3. (1) (Изм. - ДВ, бр. 8 от 2025 г., в сила от 28.01.2025 г.)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 и семеконтрол (ИАСАС) към Министерството на земеделието и храните сертифицира хмела и продуктите от хмел, произведени на територията на страната.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771943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(2) (Изм. - ДВ, бр. 8 от 2025 г., в сила от 28.01.2025 г.) Изпълнителният директор на ИАСАС одобрява със за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повед наръчник за прилагане на процедурите за сертифициране на хмел и продукти от хмел, уредени от тази наредба и Регламент за изпълнение (ЕС) 2024/601.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830368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182779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4. (1) Сертифицирането на хмел и продукти от хмел се извършва от служителите на ИАСАС и от други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лица, на които тази дейност е възложена със заповед на Изпълнителния директор на ИАСАС.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790425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8 от 2025 г., в сила от 28.01.2025 г.) Изпълнителният директор на ИАСАС на основание анализ на риска организира извършването на надзор върху сертифи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цирането на хмел и продукти от хмел съгласно изискванията на Регламент за изпълнение (ЕС) 2024/601.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9502875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568315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5. (1) Изпълнителният директор на ИАСАС възлага със заповеди на териториални звена на службата да изпълняват функциите на центрове за сертифициране на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хмел и/или продукти от хмел.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330619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Изпълнителният директор на ИАСАС, при необходимост, одобрява със заповеди центрове за сертифициране на хмел и/или продукти от хмел извън структурата на службата, които: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214103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са търговци по смисъла на Търговския закон;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392859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раз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полагат с нужния технически капацитет за вземане на проби от сертифицираните продукти и за анализ на пробите;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205432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(изм. - ДВ, бр. 8 от 2025 г., в сила от 28.01.2025 г.) могат да водят документация и да подават информация за извършеното сертифициране съгласн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 изискванията на Регламент за изпълнение (ЕС) 2024/601.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216360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Със заповедите по ал. 1 и 2 се определя кодът на центъра за сертифициране и мястото, където ще се сертифицират хмелът и/или продуктите от хмел.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481253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Изпълнителният директор на ИАСАС одобрява центр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овете за сертифициране по ал. 2 въз основа на заявление от търговеца.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6155970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013350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6. (1)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проверява на място най-малко два пъти годишно одобрените центрове за сертифициране за наличие на изискванията на чл. 5, ал. 1.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151782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Изпълнителният директор на ИАСАС отнема със запо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вед одобрението на център за сертифициране, когато се установи, че: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244402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той вече не отговаря на изискванията на чл. 5, ал. 1;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77696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по вина на лицата, работещи в него, е допуснато при приготвянето на продукти от хмел да бъдат вложени неразрешени компоненти или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вложените компоненти да не бъдат отразени в издадения сертификат.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13309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Отнетото по ал. 2 одобрение може да бъде възстановено по реда на чл. 5, ал. 3 не по-рано от 1 година от датата на отнемането.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6935808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240535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7. (Изм. - ДВ, бр. 8 от 2025 г., в сила от 28.01.202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 г.) Министърът на земеделието и храните по предложение на изпълнителния директор на ИАСАС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утвърждава със заповед районите за производство на хмел в Република България в съответствие с изискванията на Регламент за изпълнение (ЕС) 2024/601.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157623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119783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8. (1) (И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зм. - ДВ, бр. 8 от 2025 г., в сила от 28.01.2025 г.)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е официален орган, отговорен за надзора на системата за сертификация, по смисъла на Делегиран регламент (ЕС) 2023/2835 на Комисията от 10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октомври 2023 г. за допълнение на Регламент (ЕС) № 1308/2013 на Европейския парламент и на Съвета по отношение на правилата за внос в секторите на ориза, зърнените култури, захарта и хмела и за отмяна на регламенти (ЕО) № 3330/94, (ЕО) № 2810/95, (ЕО) № 9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51/2006, (ЕО) № 972/2006, (ЕО) № 504/2007, (ЕО) № 1375/2007, (ЕО)№ 402/2008, (ЕО) № 1295/2008, (ЕО) № 1312/2008 и (ЕС) № 642/2010, (ЕИО) № 1361/76, (ЕИО) № 1842/81, (ЕИО) № 3556/87, (ЕИО) № 3846/87, (ЕИО) № 815/89, (ЕО) № 765/2002, (ЕО) № 1993/2005, (ЕО) №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1670/2006, (ЕО) № 1731/2006, (ЕО) № 1741/2006, (ЕО) № 433/2007, (ЕО) № 1359/2007, (ЕО) № 1454/2007, (ЕО) № 508/2008, (ЕО) № 903/2008, (ЕО) № 147/2009, (ЕО) № 612/2009, (ЕС) № 817/2010, (ЕС) № 1178/2010, (ЕС) № 90/2011 на Комисията и Регламент за изпълнени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(ЕС) № 1373/2013 на Комисията (ОВ, L 2023/2835, 21.12.2023 г.) (Делегиран регламент (ЕС) 2023/2835).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741579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(Изм. - ДВ, бр. 8 от 2025 г., в сила от 28.01.2025 г.)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извършва проверките по чл. 9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ал. 1 и предприема действията, необходими за прилагане на чл. 9, ал. 2 от Делегиран регламент (ЕС) 2023/2835.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6777781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232275823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трета.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РЕД ЗА СЕРТИФИЦИРАНЕ НА ХМЕЛ И ПРОДУКТИ ОТ ХМЕЛ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728685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9. (1) На сертифициране подлежат: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492739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произведените в страната хмелови шишарк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и, пресни или сушени, растителен сок и екстракти от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151883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(изм. - ДВ, бр. 8 от 2025 г., в сила от 28.01.2025 г.) продуктите, произведени от продукти по т. 1, включително натрошени, смлени и под формата на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пелети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както и с повишено съдържание на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лупулин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произведени на територията на Европейския съюз или внесени от трети страни съгласно чл. 190 от Регламент (ЕС) № 1308/2013.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155108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Продуктите по ал. 1 могат да се предлагат на пазара на Европейския съюз и да се изнасят само със сертификат.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500341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8 от 2025 г., в сила от 28.01.2025 г.) За продуктите, внесени в Съюза съгласно чл. 190 от Регламент (ЕС) № 1308/2013, декларацията, издадена от компетентния орган на третата страна, е еквивалентна на сертификат.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452900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При производство на продукти от хмел м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огат да се използват само сертифициран хмел по ал. 1, т. 1 и изходни сертифицирани продукти от хмел по ал. 1, т. 2 и ал. 3.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7127294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995615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10. (1) Производителите на хмел представят за сертифициране всяка партида, придружена от подписана от тях декларация, която съ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държа: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175085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име (наименование) и адрес на производителя;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715185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година на реколтата;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879705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сорт;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496580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място на производство;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650425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референтен номер на парцела, на който е произведена, в Интегрираната система за администриране и контрол;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109909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брой на опаковките в партидата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894414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Декларацията по ал. 1 придружава партидата хмел до издаване на сертификат на хмела или на продукта, произведен от него.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4699098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558579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11. (1) Хмелът се сертифицира, когато отговаря на минималните изисквания за качество, посочени в приложение № 1.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454713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Хмелът на прах, хмелът на прах с повишено съдържание на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лупулин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екстрактите от хмел и смесените продукти от хмел се сертифицират, ако тяхното алфа-киселинно съдържание е по-ниско от това на хмела, от който са получени.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5595891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120606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12. (1) При сертифициране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хмел пробите се вземат и обработват съгласно метода, посочен в приложение № 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92704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сертифициране на хмел се взема най-малко една проба от всеки 10 опаковки, но не по-малко от 2 проби от всяка партида.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7760971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832743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13. (1) Съответствието с минималното изиск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ване за съдържание на влага в хмела се проверява чрез един от методите, посочени в приложение № 3.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010662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Метод II от приложение № 3 може да се използва за установяване съдържанието на влага в хмела след одобряване от ИАСАС, ако при прилагането му полученият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резултат е с отклонение не повече от 2 % от резултата, получен по метод I.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306406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При решаване на спор за съответствие на хмела с минималното изискване за съдържание на влага се прилага метод I от приложение № 3.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833412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Съответствието на хмела с другите минимал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 изисквания за качество се проверява чрез метода, посочен в приложение № 4.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5126924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01189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14. (Изм. - ДВ, бр. 8 от 2025 г., в сила от 28.01.2025 г.) Лицата по чл. 4, ал. 1 сертифицират хмела и продуктите от хмел съгласно изискванията на Регламент за изпълнение (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ЕС) 2024/601.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7590569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421164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15. (1) Предприятията за преработка на хмел са длъжни да представят на лицата по чл. 4, ал. 1, които сертифицират продуктите, произведени от хмел, цялата информация, свързана с технологията на преработката.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11710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Предприятията за преработ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ка на хмел са длъжни да водят пълна отчетност за количествата хмел, вложени за преработка.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765177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Лицата по чл. 4, ал. 1, които сертифицират продуктите, произведени от хмел, контролират процеса на преработката и подписват изготвените от предприятията отчетни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документи.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623260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(4) Предприятията за преработка на хмел са длъжни да съхраняват документацията, свързана с преработката на всяка партида, в продължение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най.малко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3 години от приключване на преработката.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9162805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94175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16. (1) Сертификатите за хмел и продукти от хмел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издават преди тяхното предлагане на пазара, но не по-късно от 15 март на годината, следваща годината на прибиране на реколтата.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177320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Сертификатът за хмел трябва да съдържа следните данни: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526900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описание на продукта по чл. 8, ал. 1;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007287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референтния номер на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сертификата;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473615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нетно и/или брутно тегло на партидата;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310507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района на производство, определен със заповедта по чл. 7;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21818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година на реколтата;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1069926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сорта на хмела;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015311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указанието "хмел със семена" или "хмел без семена";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000878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(изм. - ДВ, бр. 8 от 2025 г., в сила от 28.01.2025 г.) указанието "Сертифициран продукт - Регламент за изпълнение (ЕС) 2024/601".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567860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Сертификатът за продукти от хмел трябва да съдържа данните по ал. 2, както и мястото и датата на преработка на хмела.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499899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4) Референтният номер на сертификата по ал. 2, т. 2 се състои от: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544372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кодът на центъра за сертифициране по чл. 5, ал. 2;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081565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означението BG;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869999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последните две цифри от годината на реколтата;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957007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номерът на партидата.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700171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Сертификатът се издава за цялата парти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3336846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278380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17. Върху всяка опаковка сертифициран хмел се означават с четливи неизличими букви с еднакъв размер на български език следните данни: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484753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описание на продукта;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37471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указанието "хмел със семена" или "хмел без семена";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614671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указанието "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неприготвен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хмел"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"приготвен хмел";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020381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сортът или сортовете на хмела, включен в опаковката;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406689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референтният номер на сертификата.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8816249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755889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18. (1) Не подлежат на сертифициране: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886571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хмел, който е произведен върху земя, стопанисвана от пивоварна, и е използван от пивоварната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естествено или преработено състояние;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836236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продукти, произведени от хмел, по договор за преработка, сключен с пивоварна, които се използват от самата пивоварна;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850456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малки количества хмел или продукти от хмел, които не се продават за пивоварни цели;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169708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прод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укти, произведени от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изомеризирани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продукти от хмел.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070502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(2) В случая по ал. 1, т. 1 собственикът на пивоварната е длъжен всяка година до 15 ноември да подаде в ИАСАС следната информация: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575193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отглежданите сортове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197148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произведените количества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430030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район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на производство, определен със заповедта по чл. 7;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019585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референтните номера на парцелите, на които е произведен хмелът, в Интегрираната система за администриране и контрол.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758208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В случая по ал. 1, т. 2 собственикът на пивоварната е длъжен при постъпване на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хмела за преработка да уведоми лицата по чл. 4, ал. 1, които сертифицират продуктите, произведени от хмел. След производство на продуктите от хмел лицата по чл. 4, ал. 1 издават документ, който включва: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799323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номер на документа;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949137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идентификационен номер на договора за преработка;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9597216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пивоварната, с която е сключен договорът;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306512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преработвателното предприятие;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195392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описание на продукта, произведен от хмел, и неговото тегло;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629735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референтните номера на сертификатите или номерата на декла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рациите по чл. 8, ал. 3 на хмела, вложен при преработката;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661748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когато са произведени смесени продукти от хмел - указанието "Смес от хмел за лично ползване; не може да се продава".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306569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Номерът на документа по ал. 3, т. 1 и указанието по ал. 3, т. 7 се означа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ват върху опаковката на продукта, произведен от хмел.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4386419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49974066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четвърта.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РЕГИСТРИРАНЕ НА ДОГОВОРИТЕ ЗА ДОСТАВКА НА ХМЕЛ (ОТМ.- ДВ, БР. 8 ОТ 2025 Г., В СИЛА ОТ 28.01.2025 Г.)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9561350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19. (Отм. - ДВ, бр. 8 от 2025 г., в сила от 28.01.2025 г.)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170744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20. (Отм. - ДВ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бр. 8 от 2025 г., в сила от 28.01.2025 г.) 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6422716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81383217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пета.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ПРЕДОСТАВЯНЕ НА ИНФОРМАЦИЯ НА ЕВРОПЕЙСКАТА КОМИСИЯ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408634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21. (1) (Изм. - ДВ, бр. 8 от 2025 г., в сила от 28.01.2025 г.)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всяка годин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в срок до 15 юни представя в Министерството на земеделието и храните: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988964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списък на районите на производство на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821710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информация за сертифицирането на хмел и продукти от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374196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списък на центровете за сертифициране и кода на всеки център;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413116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информац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 за надзора на сертифицирането и контрола върху центровете за сертифициране;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183750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5. (изм. - ДВ, бр. 8 от 2025 г., в сила от 28.01.2025 г.) информация за вида и честотата на проверките, резултатите от тях и процента проверени партиди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по чл. 43 от Регламент за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изпълнение (ЕС) 2023/2834 на Комисията от 10 октомври 2023 г. за определяне на правилата за прилагане на Регламент (ЕС) № 1308/2013 на Европейския парламент и на Съвета по отношение на вноса в секторите на ориза, зърнените култури, захарта и хмела (ОВ, L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2023/2834, 21.12.2023) (Регламент за изпълнение (ЕС) 2023/2834).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574379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8 от 2025 г., в сила от 28.01.2025 г.) Министерството на земеделието и храните представя на Европейската комисия всяка година в срок до 30 юни, информацията по чл. 14 от Р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егламент за изпълнение (ЕС) 2024/601 и по чл. 43 от Регламент за изпълнение (ЕС) 2023/2834.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9508173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974008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22. (1) (Изм. - ДВ, бр. 8 от 2025 г., в сила от 28.01.2025 г.) Изпълнителната агенция по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сортоизпитване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апробация и семеконтрол всяка година в срок до 31 мар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представя в Министерството на земеделието и храните информация за: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714645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площите, засадени с хмел, включително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новозасадените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площи;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577291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броя на производителите, произвеждащи хмел;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025833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количествата сертифициран хмел от реколтата от предходната година.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592934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м. - ДВ, бр. 8 от 2025 г., в сила от 28.01.2025 г.) Областните дирекции "Земеделие" всяка година в срок до 31 март представят в централното управление на Министерството на земеделието и храните информация за: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494554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(изм. - ДВ, бр. 8 от 2025 г., в сила от 28.0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1.2025 г.) доставеното количество хмел през предходната година и средната продажна цена;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037085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8 от 2025 г., в сила от 28.01.2025 г.) доставените количества алфа-киселини и средното процентно съдържание на алфа-киселини;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128287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(отм. - ДВ, бр. 8 от 2025 г., в сила от 28.01.2025 г.)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62510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8 от 2025 г., в сила от 28.01.2025 г.) Министерството на земеделието и храните изпраща на Европейската комисия по електронен път, съгласно чл. 12, буква "б" от Регламент за изпъл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нение (ЕС) 2017/1185 на Комисията от 20 април 2017 г.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изменение и отмяна на няколко регламента на Комисията (ОВ, L 171, 4.07.2017 г.), информация за реколтата от хмел. Информацията се представя в срок до 15 април на годината, следваща годината на реколтата от хмел.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6117411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187977645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шеста.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АДМИНИСТРАТИВНОНАКАЗАТЕЛНА 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РАЗПОРЕДБА (ОТМ. - ДВ, БР. 8 ОТ 2025 Г., В СИЛА ОТ 28.01.2025 Г.)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4614621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23. (Отм. - ДВ, бр. 8 от 2025 г., в сила от 28.01.2025 г.) </w:t>
      </w:r>
    </w:p>
    <w:p w:rsidR="00000000" w:rsidRPr="00677981" w:rsidRDefault="00327534">
      <w:pPr>
        <w:spacing w:before="100" w:beforeAutospacing="1" w:after="240" w:line="240" w:lineRule="auto"/>
        <w:jc w:val="center"/>
        <w:textAlignment w:val="center"/>
        <w:divId w:val="1134833986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106060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1. По смисъла на тази наредба: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191518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1. (изм. - ДВ, бр. 8 от 2025 г., в сила от 28.01.2025 г.) "Хмел" 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 "Шишарки от хмел" означава съцветия на (женското) увивно растение хмел (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Humulus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lupulus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); тези съцветия, които са зеленикаво-жълти на цвят и с яйцевидна форма, имат дръжка и в най-големия си размер обикновено достигат дължина от 2 до 5 cm съгласно чл. 3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буква "а" от Делегиран регламент (ЕС) 2024/602;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963853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"Хмел на прах" е продукт, получен от смилането на хмел и съдържащ всички негови естествени елементи.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003852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"Екстракт от хмел" е концентриран продукт, получен под действието на разтворител, в който е поставе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 хмел или хмел на прах.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697814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"Хмел на прах с повишено съдържание на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лупулин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" е продукт, получен при смилането на хмел след механично отстраняване на част от листата, дръжките, прицветниците и стъблата.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916563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"Смесени продукти от хмел" са смеси от два или повеч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продукта по т. 1 - 4.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626880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(доп. - ДВ, бр. 8 от 2025 г., в сила от 28.01.2025 г.) "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Неприготвен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хмел" е хмел, който е преминал само през предварително сушене и пакетиране съгласно чл. 3, буква "б"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16344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(изм. - ДВ, бр. 8 о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2025 г., в сила от 28.01.2025 г.) "Приготвен хмел" е хмел, който е преминал през окончателно сушене и окончателно пакетиране съгласно чл. 3, буква "в"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266495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(изм. - ДВ, бр. 8 от 2025 г., в сила от 28.01.2025 г.) "Хмел с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ъс семена" е хмел, предлаган на пазара със съдържание на семена, по-високо от 2 % от теглото му след сушене съгласно чл. 3, буква "г"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888322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9. (изм. - ДВ, бр. 8 от 2025 г., в сила от 28.01.2025 г.) "Хмел без семена" е хмел,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предлаган на пазара със съдържание на семена, което не надхвърля 2 % от теглото му след сушене съгласно чл. 3, буква "д"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241592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10. (изм. - ДВ, бр. 8 от 2025 г., в сила от 28.01.2025 г.) "Партида" означава определен брой опак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овки с хмел с едни и същи характеристики, представени за сертифициране по едно и също време от един и същ индивидуален или асоцииран производител или от един и същ преработвател, съгласно чл. 3, буква "з"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325192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11. (доп. - Д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В, бр. 8 от 2025 г., в сила от 28.01.2025 г.) "Център за сертифициране" е място, на което се извършва сертифициране съгласно чл. 3, буква "н"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454483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(изм. - ДВ, бр. 8 от 2025 г., в сила от 28.01.2025 г.) "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Изомеризиран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про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дукт от хмел" означава продукт от хмел, в който алфа-киселините са почти напълно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изомеризирани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съгласно чл. 3, буква "ж" от Делегиран регламент (ЕС) 2024/602.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817669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13. (отм. - ДВ, бр. 8 от 2025 г., в сила от 28.01.2025 г.)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544923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14. (изм. - ДВ, бр. 8 от 2025 г., в с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ила от 28.01.2025 г.) "Малки количества" са количества, които не надвишават 5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kg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хмелови шишарки, хмел на прах и гранули и 1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kg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екстракти от хмел или за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изомеризирани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продукти от хмел, съгласно чл. 5, буква "в" от Делегиран регламент (ЕС) 2024/602.</w:t>
      </w:r>
    </w:p>
    <w:p w:rsidR="00000000" w:rsidRPr="00677981" w:rsidRDefault="00327534">
      <w:pPr>
        <w:spacing w:after="150" w:line="240" w:lineRule="auto"/>
        <w:ind w:firstLine="1155"/>
        <w:jc w:val="both"/>
        <w:textAlignment w:val="center"/>
        <w:divId w:val="17355423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260" w:line="240" w:lineRule="auto"/>
        <w:jc w:val="center"/>
        <w:textAlignment w:val="center"/>
        <w:divId w:val="444546151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130741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§ 2. Наредбата се издава на основание чл. 39 от Закона за прилагане на Общите организации на пазарите на земеделски продукти на Европейския съюз.</w:t>
      </w:r>
    </w:p>
    <w:p w:rsidR="00000000" w:rsidRPr="00677981" w:rsidRDefault="00327534">
      <w:pPr>
        <w:spacing w:after="150" w:line="240" w:lineRule="auto"/>
        <w:ind w:firstLine="1155"/>
        <w:jc w:val="both"/>
        <w:textAlignment w:val="center"/>
        <w:divId w:val="5502672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743680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3. Наредбата се прилага от 2008/2009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реколтна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година.</w:t>
      </w:r>
    </w:p>
    <w:p w:rsidR="00000000" w:rsidRPr="00677981" w:rsidRDefault="00327534">
      <w:pPr>
        <w:spacing w:after="150" w:line="240" w:lineRule="auto"/>
        <w:ind w:firstLine="1155"/>
        <w:jc w:val="both"/>
        <w:textAlignment w:val="center"/>
        <w:divId w:val="17478774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before="100" w:beforeAutospacing="1" w:after="100" w:afterAutospacing="1" w:line="240" w:lineRule="auto"/>
        <w:jc w:val="center"/>
        <w:textAlignment w:val="center"/>
        <w:divId w:val="1750229696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677981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19 ОТ 2004 Г. ЗА ПРОИЗВОДСТВО И ТЪРГОВИЯ НА ПОСАДЪЧЕН МАТЕРИАЛ ОТ ЗЕЛЕНЧУКОВИ КУЛТУРИ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543605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(ОБН. - ДВ, БР. 8 ОТ 2025 Г., В СИЛА ОТ 28.01.2025 Г.)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763059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220073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. . . . . . . . . . . . . . . . . . . . . . . . . . . . 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</w:t>
      </w:r>
    </w:p>
    <w:p w:rsidR="00000000" w:rsidRPr="00677981" w:rsidRDefault="00327534">
      <w:pPr>
        <w:spacing w:after="150" w:line="240" w:lineRule="auto"/>
        <w:ind w:firstLine="1155"/>
        <w:jc w:val="both"/>
        <w:textAlignment w:val="center"/>
        <w:divId w:val="9135096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21. Наредбата влиза в сила от деня на обнародването ѝ в "Държавен вестник".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119366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 към чл. 11, ал. 1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20584309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20584309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МИНИМАЛНИ ИЗИСКВАНИЯ ЗА КАЧЕСТВО НА ШИШАРКИ ОТ ХМЕЛ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20584309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037"/>
        <w:gridCol w:w="1510"/>
      </w:tblGrid>
      <w:tr w:rsidR="00000000" w:rsidRPr="00677981">
        <w:trPr>
          <w:divId w:val="20584309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Характе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Максимално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ристики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съдържание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(% от теглото)</w:t>
            </w:r>
          </w:p>
        </w:tc>
      </w:tr>
    </w:tbl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2058430988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3262"/>
        <w:gridCol w:w="1079"/>
        <w:gridCol w:w="1046"/>
      </w:tblGrid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приготвен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непригот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хмел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вен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хмел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а) Влага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Съдържание на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б) 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Листни части от филизи 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 стъбла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клонките, филизи по клонките,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листни или </w:t>
            </w: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шишаркови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стълб-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чета; за да бъдат </w:t>
            </w: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категоризи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рани като дръжки, </w:t>
            </w: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шишаркови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 стълбчета трябва да са по-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дълги от 2,5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в) </w:t>
            </w: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Отпадъ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Малки частици, получени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чен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хмел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резултат на машинно прибира-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не на реколтата, с различен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цвят от тъмнозелен и черен,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които обикновено не са 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шишарките; посоченото мак-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симално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съдържание може 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включва частици от хмелови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сортове, различни от тези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сертифициране, които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достигат до 2 % от теглото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г) За "хмел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семена",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677981">
        <w:trPr>
          <w:divId w:val="205843098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Зрял </w:t>
            </w:r>
            <w:proofErr w:type="spellStart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шишарков</w:t>
            </w:r>
            <w:proofErr w:type="spellEnd"/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плод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677981" w:rsidRDefault="0032753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67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</w:tr>
    </w:tbl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20584309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179548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2 към чл. 12, ал. 1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880426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232272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МЕТОД ЗА ВЗЕМАНЕ НА ПРОБИ ПРИ СЕРТИФИЦИРАНЕ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880426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9466447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вземането на проби от шишарки от хмел за определяне на съдържанието на влага, а при необходимост и на примеси, се използва следната процедура: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6573920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Вземане на проби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927034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Опакован хмел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858751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Взема се тегловна част, пропорционална на теглото на опаковката, от броя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пакети, определени в член 11, ал. 2.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15530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Хмел на купчина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9714188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Вземат се равни части от пет до десет различни места в купчината както от повърхността, така и от различни дълбочини, и се съставя пробата. Пробата се поставя в съд възможно най-бързо. За да се избе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гне бързото влошаване на качеството на пробата, хмелът трябва да е в такова количество, че след затваряне на съда да се получи силно уплътняване.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120984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Теглото на пробата трябва да бъде над 250 g.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146424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Смесване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718830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Пробите трябва внимателно да се смесят, за да са пре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дставителни за цялата партида.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387737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Вземане на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подпроби</w:t>
      </w:r>
      <w:proofErr w:type="spellEnd"/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6365695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 смесването се вземат една или повече представителни проби и се поставят във водонепропусклив, херметичен съд, като например метална кутия, стъклен буркан или пластмасова торбичка, освен в случаите,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когато трябва да се провери само съдържанието на външни тела.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741659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Съхранение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363040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Освен по време на транспортиране пробите трябва да се съхраняват на студено място. Необходимо е да се вземат мерки за предоставяне на възможност за възстановяване на стайната темп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ература вътре в съда с пробите, преди той да се отвори за проверка или анализ.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3880426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402630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3 към чл. 13, ал. 1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923823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177988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МЕТОДИ ЗА ПРОВЕРКА НА СЪДЪРЖАНИЕТО НА ВЛАГА В ХМЕЛА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923823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554109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Метод I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712822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Пробите за съдържание на влага не трябва да се смилат. Важно е те да са в 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онтакт с въздуха само за минималното време, необходимо за прехвърлянето им от съда до измерителния съд (който трябва да има капак).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164488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Апаратура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773105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Везни с чувствителност до 0,005 g.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187516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Сушилня с електрическо загряване и с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терморегулиране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105 до 107 °C (ефикасн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остта на сушилнята се проверява чрез изпитване с меден сулфат).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825490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Метални съдове с диаметър от 70 до 100 mm, с дълбочина от 20 до 30 mm и съоръжени с добре прилягащи капаци.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363760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Обикновени изпарители, в които могат да се поместят съдовете и които съдържат </w:t>
      </w:r>
      <w:proofErr w:type="spellStart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сикати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proofErr w:type="spellEnd"/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като например индикатор силициев гел.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3584349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Метод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755500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Хмел с тегло от 3 до 5 g се прехвърля в съда и се поставя капакът, преди да се претегли хмелът. Премерването се извършва възможно най-бързо. Капакът се маха и съдът се поставя в сушилнята точно за един час. Капакът се слага отново, чашата се поставя в суши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лня за охлаждане най-малко за 20 минути и след това съдът се претегля.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03648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Изчисление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51277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Загубата на тегло се изчислява като процент от първоначалното тегло на хмела. Максималното отклонение за едно изчисление е 1 %.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124150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Метод II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069285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Метод, при който се използва елект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ронна машина за претегляне, която изсушава хмела с инфрачервени лъчи, или горещ въздух, или електрическа измервателна апаратура, която отчита на скала степента на влажност на взетата проба.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3923823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5213646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4 към чл. 13, ал. 4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495628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956299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МЕТОД ЗА ПРОВЕРКА НА СЪДЪРЖАН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ИЕТО НА ПРИМЕСИ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5495628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2586410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Определяне на съдържанието на листа, стъбла и отпадъци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4891053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Пресяват се пет проби по 100 грама всяка (или една проба от 250 грама), като се използва сито с отвори от 2 до 3 mm. Събират се прашецът от хмел, отпадъците и семената и ръчно се о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тделят семената. Пробите се оставят настрана. Прехвърля се съдържанието на ситото с отвори от 2 до 3 mm в сито с отвори от 8 до 10 mm и отново се пресява.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011438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ситото ръчно се събират шишарки от хмел, листата, стъблата и примесите, макар че листата на шишар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ките, семената, отпадъчният прашец от хмел и някои листа и стъбла минават през него. Всичко това се сортира ръчно и се разделя на следните групи: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7732888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листа и стъбла,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4172456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2. хмел (листа на шишарки, шишарки от хмел и прашецът от хмел),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8011158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отпадъци,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1746448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семена.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0046960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Мак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ар и да е изключително трудно да се отделят прецизно отпадъците и прашецът от хмел, има възможност, като се използва сито с размер на мрежата 0,8 милиметра, да се определят приблизително относителните дялове на отпадъците и прашеца от хмел.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780695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изчисляван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ето на съотношението на прашеца от хмел трябва да се вземе предвид, че плътността на прашеца от хмел е четири пъти по-голяма от тази на отпадъците.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7228993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Различните групи се претеглят и се определят като процент от теглото на първоначалната проба.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2554810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Определяне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съдържанието на семена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095196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Проба с тегло 25 g се поставя в метален съд с капак и се загрява в сушилня за два часа при температура 115 °C, за да се неутрализира лепкавата смола.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3139215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Изсушената проба се увива в груб памучен плат и силно се търка или удря, за да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отделят семената от хмела. Изсушеният и ситно натрошен хмел се отделя от семената с помощта на дробилка или метално сито с отвори от 1 mm. </w:t>
      </w:r>
    </w:p>
    <w:p w:rsidR="00000000" w:rsidRPr="00677981" w:rsidRDefault="00327534">
      <w:pPr>
        <w:spacing w:after="0" w:line="240" w:lineRule="auto"/>
        <w:ind w:firstLine="1155"/>
        <w:jc w:val="both"/>
        <w:textAlignment w:val="center"/>
        <w:divId w:val="11801974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Частиците, останали по семената, се отделят, като се използва наклонена повърхност, покрита с гласпапир, или няк</w:t>
      </w: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акъв друг метод, който води до същия резултат, т. е. задържа стъблата и други тела и позволява на семената да паднат. </w:t>
      </w:r>
    </w:p>
    <w:p w:rsidR="00000000" w:rsidRPr="00677981" w:rsidRDefault="00327534">
      <w:pPr>
        <w:spacing w:after="120" w:line="240" w:lineRule="auto"/>
        <w:ind w:firstLine="1155"/>
        <w:jc w:val="both"/>
        <w:textAlignment w:val="center"/>
        <w:divId w:val="17841141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779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Претеглят се семената и се определят като процент от теглото на първоначалната проба.</w:t>
      </w:r>
    </w:p>
    <w:bookmarkEnd w:id="0"/>
    <w:p w:rsidR="00327534" w:rsidRPr="00677981" w:rsidRDefault="00327534">
      <w:pPr>
        <w:ind w:firstLine="1155"/>
        <w:jc w:val="both"/>
        <w:textAlignment w:val="center"/>
        <w:divId w:val="1549562846"/>
        <w:rPr>
          <w:rFonts w:eastAsia="Times New Roman"/>
          <w:color w:val="000000"/>
          <w:lang w:val="bg-BG"/>
        </w:rPr>
      </w:pPr>
    </w:p>
    <w:sectPr w:rsidR="00327534" w:rsidRPr="00677981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34" w:rsidRDefault="00327534">
      <w:pPr>
        <w:spacing w:after="0" w:line="240" w:lineRule="auto"/>
      </w:pPr>
      <w:r>
        <w:separator/>
      </w:r>
    </w:p>
  </w:endnote>
  <w:endnote w:type="continuationSeparator" w:id="0">
    <w:p w:rsidR="00327534" w:rsidRDefault="003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84" w:rsidRDefault="00327534">
    <w:proofErr w:type="spellStart"/>
    <w:r>
      <w:t>Източник</w:t>
    </w:r>
    <w:proofErr w:type="spellEnd"/>
    <w:r>
      <w:t xml:space="preserve">: </w:t>
    </w:r>
    <w:proofErr w:type="spellStart"/>
    <w:r>
      <w:t>Правно-информационни</w:t>
    </w:r>
    <w:proofErr w:type="spellEnd"/>
    <w:r>
      <w:t xml:space="preserve"> </w:t>
    </w:r>
    <w:proofErr w:type="spellStart"/>
    <w:r>
      <w:t>системи</w:t>
    </w:r>
    <w:proofErr w:type="spellEnd"/>
    <w:r>
      <w:t xml:space="preserve">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34" w:rsidRDefault="00327534">
      <w:pPr>
        <w:spacing w:after="0" w:line="240" w:lineRule="auto"/>
      </w:pPr>
      <w:r>
        <w:separator/>
      </w:r>
    </w:p>
  </w:footnote>
  <w:footnote w:type="continuationSeparator" w:id="0">
    <w:p w:rsidR="00327534" w:rsidRDefault="00327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84"/>
    <w:rsid w:val="00163784"/>
    <w:rsid w:val="00327534"/>
    <w:rsid w:val="006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414ED-DC78-4473-AB45-9EDA024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basedOn w:val="DefaultParagraphFont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26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80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0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2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5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9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6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0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4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4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1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6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3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6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9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0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2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2</cp:revision>
  <dcterms:created xsi:type="dcterms:W3CDTF">2025-01-28T06:57:00Z</dcterms:created>
  <dcterms:modified xsi:type="dcterms:W3CDTF">2025-01-28T06:57:00Z</dcterms:modified>
</cp:coreProperties>
</file>